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A280" w14:textId="5B0F8002" w:rsidR="00A3762E" w:rsidRPr="00AD5858" w:rsidRDefault="002B27DA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Pr="002B27DA">
        <w:rPr>
          <w:b/>
          <w:sz w:val="40"/>
          <w:szCs w:val="40"/>
          <w:vertAlign w:val="superscript"/>
        </w:rPr>
        <w:t>ο</w:t>
      </w:r>
      <w:r>
        <w:rPr>
          <w:b/>
          <w:sz w:val="40"/>
          <w:szCs w:val="40"/>
        </w:rPr>
        <w:t xml:space="preserve"> </w:t>
      </w:r>
      <w:bookmarkStart w:id="0" w:name="_GoBack"/>
      <w:bookmarkEnd w:id="0"/>
      <w:r w:rsidR="00B752D4">
        <w:rPr>
          <w:b/>
          <w:sz w:val="40"/>
          <w:szCs w:val="40"/>
        </w:rPr>
        <w:t>Φθινοπωρινό</w:t>
      </w:r>
      <w:r w:rsidR="00AD4D15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>
        <w:rPr>
          <w:b/>
          <w:sz w:val="40"/>
          <w:szCs w:val="40"/>
        </w:rPr>
        <w:br/>
        <w:t>«Ναι» Στο Σκάκι</w:t>
      </w:r>
    </w:p>
    <w:p w14:paraId="1FC4FD3E" w14:textId="77777777"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14:paraId="6333E6D9" w14:textId="77777777" w:rsidR="00A3762E" w:rsidRDefault="00A3762E" w:rsidP="00A3762E">
      <w:pPr>
        <w:pStyle w:val="NormalWeb"/>
        <w:jc w:val="center"/>
      </w:pPr>
    </w:p>
    <w:p w14:paraId="592BFCEE" w14:textId="49EBA130"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583EA4">
        <w:rPr>
          <w:b/>
        </w:rPr>
        <w:t>27 Οκτωβρίου</w:t>
      </w:r>
      <w:r w:rsidR="00AD4D15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>Δημοτικό Κέντρο Άθλησης &amp;</w:t>
      </w:r>
      <w:r w:rsidR="00583EA4">
        <w:rPr>
          <w:b/>
        </w:rPr>
        <w:t xml:space="preserve">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07931819" w14:textId="77777777"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</w:p>
    <w:p w14:paraId="31101E32" w14:textId="77777777"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14:paraId="526336F6" w14:textId="77777777"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14:paraId="43404A31" w14:textId="77777777"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14:paraId="146B16F1" w14:textId="77777777"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</w:p>
    <w:p w14:paraId="6B5BC68F" w14:textId="77777777"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14:paraId="3ADD3FD4" w14:textId="77777777"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14:paraId="54E686CD" w14:textId="77777777"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14:paraId="2ACE37B2" w14:textId="77777777"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A3762E">
        <w:t>-8ετών.</w:t>
      </w:r>
      <w:r w:rsidR="00A3762E">
        <w:br/>
        <w:t>Οι νικητές βραβεύονται στις ηλικιακές κατηγορίες τους.</w:t>
      </w:r>
    </w:p>
    <w:p w14:paraId="443B7D9B" w14:textId="77777777"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394E8A43" w14:textId="77777777"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14:paraId="151AF5D9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>, στην κα. Μαριάννα Στεφανίδη 6946046683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14:paraId="46564093" w14:textId="6F939889" w:rsidR="009E60B5" w:rsidRDefault="00A3762E" w:rsidP="00A3762E">
      <w:pPr>
        <w:pStyle w:val="NormalWeb"/>
      </w:pPr>
      <w:r w:rsidRPr="009E60B5">
        <w:rPr>
          <w:b/>
        </w:rPr>
        <w:t>Διαιτητές:</w:t>
      </w:r>
      <w:r w:rsidR="00583EA4">
        <w:rPr>
          <w:b/>
        </w:rPr>
        <w:t xml:space="preserve"> </w:t>
      </w:r>
      <w:proofErr w:type="spellStart"/>
      <w:r>
        <w:t>Μ.Τσούμπα</w:t>
      </w:r>
      <w:proofErr w:type="spellEnd"/>
    </w:p>
    <w:p w14:paraId="75F830D3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4D75FE4C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2B27DA"/>
    <w:rsid w:val="002D622B"/>
    <w:rsid w:val="0030133F"/>
    <w:rsid w:val="00304D10"/>
    <w:rsid w:val="00330E08"/>
    <w:rsid w:val="003449D7"/>
    <w:rsid w:val="00361D50"/>
    <w:rsid w:val="00374018"/>
    <w:rsid w:val="003C77FC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83EA4"/>
    <w:rsid w:val="005B7560"/>
    <w:rsid w:val="005C0B69"/>
    <w:rsid w:val="005C11C6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4D15"/>
    <w:rsid w:val="00AD5858"/>
    <w:rsid w:val="00AE4364"/>
    <w:rsid w:val="00B34DB7"/>
    <w:rsid w:val="00B50274"/>
    <w:rsid w:val="00B7255F"/>
    <w:rsid w:val="00B752D4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3BBA"/>
  <w15:docId w15:val="{E610B14A-6719-4144-A3D3-EB54D6FE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23</cp:revision>
  <cp:lastPrinted>2018-06-10T14:20:00Z</cp:lastPrinted>
  <dcterms:created xsi:type="dcterms:W3CDTF">2017-10-17T08:13:00Z</dcterms:created>
  <dcterms:modified xsi:type="dcterms:W3CDTF">2019-10-03T05:31:00Z</dcterms:modified>
</cp:coreProperties>
</file>